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CF" w:rsidRDefault="00500FCF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500FCF" w:rsidRDefault="00276CD8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FACULTY OF MEDICINE</w:t>
      </w:r>
    </w:p>
    <w:p w:rsidR="00500FCF" w:rsidRDefault="00276CD8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INTERNSHIP SCHEDULE</w:t>
      </w:r>
    </w:p>
    <w:p w:rsidR="00500FCF" w:rsidRDefault="00500FCF">
      <w:pPr>
        <w:ind w:left="0" w:hanging="2"/>
        <w:jc w:val="center"/>
        <w:rPr>
          <w:sz w:val="22"/>
          <w:szCs w:val="22"/>
        </w:rPr>
      </w:pP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500FCF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PEDIATRIC SURGERY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Code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TIP 531</w:t>
            </w:r>
          </w:p>
        </w:tc>
      </w:tr>
      <w:tr w:rsidR="00500FCF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ECTS: 2 CREDIT: 30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5th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52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4"/>
            </w:tblGrid>
            <w:tr w:rsidR="00500FCF">
              <w:trPr>
                <w:trHeight w:val="100"/>
              </w:trPr>
              <w:tc>
                <w:tcPr>
                  <w:tcW w:w="1524" w:type="dxa"/>
                  <w:vAlign w:val="center"/>
                </w:tcPr>
                <w:p w:rsidR="00500FCF" w:rsidRDefault="00276C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Undergraduate</w:t>
                  </w:r>
                  <w:proofErr w:type="spellEnd"/>
                </w:p>
              </w:tc>
            </w:tr>
          </w:tbl>
          <w:p w:rsidR="00500FCF" w:rsidRDefault="00500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Compulsory</w:t>
            </w:r>
            <w:proofErr w:type="spellEnd"/>
          </w:p>
        </w:tc>
      </w:tr>
      <w:tr w:rsidR="00500FCF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1"/>
              <w:tblW w:w="437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6"/>
            </w:tblGrid>
            <w:tr w:rsidR="00500FCF">
              <w:trPr>
                <w:trHeight w:val="100"/>
              </w:trPr>
              <w:tc>
                <w:tcPr>
                  <w:tcW w:w="4376" w:type="dxa"/>
                </w:tcPr>
                <w:p w:rsidR="00500FCF" w:rsidRDefault="00276CD8">
                  <w:pPr>
                    <w:ind w:left="0" w:hanging="2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Theoretical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+ </w:t>
                  </w:r>
                  <w:proofErr w:type="spellStart"/>
                  <w:r>
                    <w:rPr>
                      <w:sz w:val="22"/>
                      <w:szCs w:val="22"/>
                    </w:rPr>
                    <w:t>Lab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courses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= 19+7 </w:t>
                  </w:r>
                  <w:proofErr w:type="spellStart"/>
                  <w:r>
                    <w:rPr>
                      <w:sz w:val="22"/>
                      <w:szCs w:val="22"/>
                    </w:rPr>
                    <w:t>hours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/1 </w:t>
                  </w:r>
                  <w:proofErr w:type="spellStart"/>
                  <w:r>
                    <w:rPr>
                      <w:sz w:val="22"/>
                      <w:szCs w:val="22"/>
                    </w:rPr>
                    <w:t>week</w:t>
                  </w:r>
                  <w:proofErr w:type="spellEnd"/>
                </w:p>
                <w:p w:rsidR="00500FCF" w:rsidRDefault="00500FCF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00FCF" w:rsidRDefault="00500FCF">
            <w:pPr>
              <w:ind w:left="0" w:hanging="2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Turkish</w:t>
            </w:r>
            <w:proofErr w:type="spellEnd"/>
          </w:p>
        </w:tc>
      </w:tr>
      <w:tr w:rsidR="00500FCF">
        <w:trPr>
          <w:trHeight w:val="158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ind w:left="0" w:right="8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  <w:p w:rsidR="00500FCF" w:rsidRDefault="00500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500FCF" w:rsidRPr="00601397" w:rsidRDefault="00595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b/>
                <w:sz w:val="22"/>
                <w:szCs w:val="22"/>
              </w:rPr>
            </w:pPr>
            <w:r w:rsidRPr="0060139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7B48DE" w:rsidRPr="00601397">
              <w:rPr>
                <w:b/>
              </w:rPr>
              <w:t>Assoc</w:t>
            </w:r>
            <w:proofErr w:type="spellEnd"/>
            <w:r w:rsidR="007B48DE" w:rsidRPr="00601397">
              <w:rPr>
                <w:b/>
              </w:rPr>
              <w:t xml:space="preserve">. Prof. Dr. </w:t>
            </w:r>
            <w:r w:rsidR="00276CD8" w:rsidRPr="00601397">
              <w:rPr>
                <w:b/>
                <w:sz w:val="22"/>
                <w:szCs w:val="22"/>
              </w:rPr>
              <w:t>Mustafa OKUMUŞ</w:t>
            </w:r>
          </w:p>
          <w:p w:rsidR="00500FCF" w:rsidRDefault="00500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00FCF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b/>
                <w:color w:val="000000"/>
                <w:sz w:val="22"/>
                <w:szCs w:val="22"/>
              </w:rPr>
              <w:t>ELECTRONIC E-MAIL ADDRESS</w:t>
            </w:r>
          </w:p>
          <w:p w:rsidR="00500FCF" w:rsidRDefault="00500FCF">
            <w:pPr>
              <w:ind w:left="0" w:right="252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500FCF" w:rsidRDefault="00276CD8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mustafa.okumus@yeniyuzyil.edu.tr </w:t>
            </w:r>
          </w:p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357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00FCF" w:rsidRDefault="00276CD8">
            <w:pPr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Office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 xml:space="preserve">:  </w:t>
            </w:r>
            <w:proofErr w:type="spellStart"/>
            <w:r>
              <w:rPr>
                <w:b/>
                <w:sz w:val="22"/>
                <w:szCs w:val="22"/>
              </w:rPr>
              <w:t>weekdays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15:00</w:t>
            </w:r>
            <w:proofErr w:type="gramEnd"/>
            <w:r>
              <w:rPr>
                <w:b/>
                <w:sz w:val="22"/>
                <w:szCs w:val="22"/>
              </w:rPr>
              <w:t>-17:00</w:t>
            </w:r>
          </w:p>
          <w:p w:rsidR="00500FCF" w:rsidRDefault="00500FCF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FCF" w:rsidRDefault="00500FCF">
            <w:pPr>
              <w:ind w:left="0" w:right="252" w:hanging="2"/>
              <w:rPr>
                <w:sz w:val="22"/>
                <w:szCs w:val="22"/>
              </w:rPr>
            </w:pPr>
          </w:p>
          <w:p w:rsidR="00500FCF" w:rsidRDefault="00500FCF">
            <w:pPr>
              <w:ind w:left="0" w:right="252" w:hanging="2"/>
              <w:rPr>
                <w:sz w:val="22"/>
                <w:szCs w:val="22"/>
              </w:rPr>
            </w:pPr>
          </w:p>
        </w:tc>
      </w:tr>
    </w:tbl>
    <w:p w:rsidR="00500FCF" w:rsidRDefault="00500F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500FCF" w:rsidRDefault="00276CD8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objectives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newborns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reveal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differences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physiology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anatomy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newborns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show</w:t>
      </w:r>
      <w:proofErr w:type="spellEnd"/>
      <w:r>
        <w:rPr>
          <w:sz w:val="22"/>
          <w:szCs w:val="22"/>
        </w:rPr>
        <w:t xml:space="preserve"> how </w:t>
      </w:r>
      <w:proofErr w:type="spellStart"/>
      <w:r>
        <w:rPr>
          <w:sz w:val="22"/>
          <w:szCs w:val="22"/>
        </w:rPr>
        <w:t>they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change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>.</w:t>
      </w:r>
    </w:p>
    <w:p w:rsidR="00500FCF" w:rsidRDefault="00500F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</w:p>
    <w:p w:rsidR="00500FCF" w:rsidRDefault="0027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Learning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Outcomes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Sub-Skills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</w:p>
    <w:p w:rsidR="00500FCF" w:rsidRDefault="0027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1. </w:t>
      </w:r>
      <w:proofErr w:type="spellStart"/>
      <w:r>
        <w:rPr>
          <w:rFonts w:eastAsia="Times New Roman"/>
          <w:color w:val="000000"/>
          <w:sz w:val="22"/>
          <w:szCs w:val="22"/>
        </w:rPr>
        <w:t>knows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how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intervene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in </w:t>
      </w:r>
      <w:proofErr w:type="spellStart"/>
      <w:r>
        <w:rPr>
          <w:rFonts w:eastAsia="Times New Roman"/>
          <w:color w:val="000000"/>
          <w:sz w:val="22"/>
          <w:szCs w:val="22"/>
        </w:rPr>
        <w:t>newborn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500FCF" w:rsidRDefault="0027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</w:t>
      </w:r>
      <w:proofErr w:type="spellStart"/>
      <w:r>
        <w:rPr>
          <w:rFonts w:eastAsia="Times New Roman"/>
          <w:color w:val="000000"/>
          <w:sz w:val="22"/>
          <w:szCs w:val="22"/>
        </w:rPr>
        <w:t>knows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how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transfer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newborn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500FCF" w:rsidRDefault="0027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</w:t>
      </w:r>
      <w:proofErr w:type="spellStart"/>
      <w:r>
        <w:rPr>
          <w:rFonts w:eastAsia="Times New Roman"/>
          <w:color w:val="000000"/>
          <w:sz w:val="22"/>
          <w:szCs w:val="22"/>
        </w:rPr>
        <w:t>Knows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diseases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children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newborns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500FCF" w:rsidRDefault="0027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4. </w:t>
      </w:r>
      <w:proofErr w:type="spellStart"/>
      <w:r>
        <w:rPr>
          <w:rFonts w:eastAsia="Times New Roman"/>
          <w:color w:val="000000"/>
          <w:sz w:val="22"/>
          <w:szCs w:val="22"/>
        </w:rPr>
        <w:t>Knows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situations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that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require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emergency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surgery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500FCF" w:rsidRDefault="0050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500FCF" w:rsidRDefault="00276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Teaching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Methods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Techniques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taught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lecturer</w:t>
      </w:r>
      <w:proofErr w:type="spellEnd"/>
      <w:r>
        <w:rPr>
          <w:sz w:val="22"/>
          <w:szCs w:val="22"/>
        </w:rPr>
        <w:t xml:space="preserve">, but </w:t>
      </w:r>
      <w:proofErr w:type="spellStart"/>
      <w:r>
        <w:rPr>
          <w:sz w:val="22"/>
          <w:szCs w:val="22"/>
        </w:rPr>
        <w:t>classroom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discussion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provided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Some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Practical</w:t>
      </w:r>
      <w:proofErr w:type="spellEnd"/>
      <w:r>
        <w:rPr>
          <w:sz w:val="22"/>
          <w:szCs w:val="22"/>
        </w:rPr>
        <w:t xml:space="preserve"> Applications", </w:t>
      </w:r>
      <w:proofErr w:type="spellStart"/>
      <w:r>
        <w:rPr>
          <w:sz w:val="22"/>
          <w:szCs w:val="22"/>
        </w:rPr>
        <w:t>where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learned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transformed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bedside</w:t>
      </w:r>
      <w:proofErr w:type="spellEnd"/>
      <w:r>
        <w:rPr>
          <w:sz w:val="22"/>
          <w:szCs w:val="22"/>
        </w:rPr>
        <w:t>.</w:t>
      </w:r>
    </w:p>
    <w:p w:rsidR="00500FCF" w:rsidRDefault="00500F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500FCF" w:rsidRDefault="0027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b/>
          <w:color w:val="000000"/>
          <w:sz w:val="22"/>
          <w:szCs w:val="22"/>
        </w:rPr>
        <w:t>Prerequisite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</w:rPr>
        <w:t>None</w:t>
      </w:r>
      <w:proofErr w:type="spellEnd"/>
    </w:p>
    <w:p w:rsidR="00500FCF" w:rsidRDefault="00500F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500FCF" w:rsidRDefault="0027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b/>
          <w:color w:val="000000"/>
          <w:sz w:val="22"/>
          <w:szCs w:val="22"/>
        </w:rPr>
        <w:t>Short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description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course</w:t>
      </w:r>
      <w:proofErr w:type="spellEnd"/>
      <w:r>
        <w:rPr>
          <w:rFonts w:eastAsia="Times New Roman"/>
          <w:b/>
          <w:color w:val="000000"/>
          <w:sz w:val="22"/>
          <w:szCs w:val="22"/>
        </w:rPr>
        <w:t>:</w:t>
      </w:r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teach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diseases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treatments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newborns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children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276CD8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DETAILED CONTENT OF THE COURSE</w:t>
      </w:r>
    </w:p>
    <w:p w:rsidR="00500FCF" w:rsidRDefault="00500FCF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pPr w:leftFromText="141" w:rightFromText="141" w:vertAnchor="text" w:tblpX="-885" w:tblpY="143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08"/>
      </w:tblGrid>
      <w:tr w:rsidR="00500FCF">
        <w:tc>
          <w:tcPr>
            <w:tcW w:w="1192" w:type="dxa"/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  <w:tbl>
            <w:tblPr>
              <w:tblStyle w:val="a3"/>
              <w:tblW w:w="97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"/>
              <w:gridCol w:w="236"/>
            </w:tblGrid>
            <w:tr w:rsidR="00500FCF">
              <w:trPr>
                <w:trHeight w:val="98"/>
              </w:trPr>
              <w:tc>
                <w:tcPr>
                  <w:tcW w:w="754" w:type="dxa"/>
                </w:tcPr>
                <w:p w:rsidR="00500FCF" w:rsidRDefault="00276CD8" w:rsidP="00437C17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Week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00FCF" w:rsidRDefault="00500FCF" w:rsidP="00437C17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500FCF" w:rsidRDefault="00500FCF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SUBJECTS AND RELATED PRELIMINARIES</w:t>
            </w:r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00FCF">
        <w:tc>
          <w:tcPr>
            <w:tcW w:w="1192" w:type="dxa"/>
          </w:tcPr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8" w:type="dxa"/>
          </w:tcPr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Acute</w:t>
            </w:r>
            <w:proofErr w:type="spellEnd"/>
            <w:r>
              <w:rPr>
                <w:sz w:val="22"/>
                <w:szCs w:val="22"/>
              </w:rPr>
              <w:t xml:space="preserve"> abdomen</w:t>
            </w:r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Anorectal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malformations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Biliary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atresia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Abdominal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tumors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children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pathologies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children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Gastrointestinal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bleeding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children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Inguinal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pathologies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children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Liquid </w:t>
            </w:r>
            <w:proofErr w:type="spellStart"/>
            <w:r>
              <w:rPr>
                <w:sz w:val="22"/>
                <w:szCs w:val="22"/>
              </w:rPr>
              <w:t>electrolyte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requirement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children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Childhood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genitourinary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anomalies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Hypertrophic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pyloric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stenosis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Aganglionic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megacolon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Invagination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Congenital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abdominal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defects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Chronic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constipation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Esophageal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infection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vesicoureteral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reflux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respiratory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distress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newborn</w:t>
            </w:r>
            <w:proofErr w:type="spellEnd"/>
          </w:p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Intestinal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obstruction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newborn</w:t>
            </w:r>
            <w:proofErr w:type="spellEnd"/>
          </w:p>
          <w:p w:rsidR="00500FCF" w:rsidRDefault="00500FCF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  <w:tr w:rsidR="00500FCF">
        <w:tc>
          <w:tcPr>
            <w:tcW w:w="1192" w:type="dxa"/>
          </w:tcPr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8" w:type="dxa"/>
          </w:tcPr>
          <w:p w:rsidR="00500FCF" w:rsidRDefault="00276CD8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</w:t>
            </w:r>
          </w:p>
        </w:tc>
      </w:tr>
    </w:tbl>
    <w:p w:rsidR="00500FCF" w:rsidRDefault="00500FCF">
      <w:pPr>
        <w:ind w:left="0" w:hanging="2"/>
        <w:jc w:val="both"/>
        <w:rPr>
          <w:sz w:val="22"/>
          <w:szCs w:val="22"/>
        </w:rPr>
      </w:pPr>
    </w:p>
    <w:p w:rsidR="00500FCF" w:rsidRDefault="00500FCF">
      <w:pPr>
        <w:ind w:left="0" w:hanging="2"/>
        <w:jc w:val="both"/>
        <w:rPr>
          <w:sz w:val="22"/>
          <w:szCs w:val="22"/>
        </w:rPr>
      </w:pPr>
    </w:p>
    <w:p w:rsidR="00500FCF" w:rsidRDefault="00500FCF">
      <w:pPr>
        <w:ind w:left="0" w:hanging="2"/>
        <w:jc w:val="both"/>
        <w:rPr>
          <w:sz w:val="22"/>
          <w:szCs w:val="22"/>
        </w:rPr>
      </w:pPr>
    </w:p>
    <w:p w:rsidR="00500FCF" w:rsidRDefault="00500FCF">
      <w:pPr>
        <w:ind w:left="0" w:hanging="2"/>
        <w:jc w:val="both"/>
        <w:rPr>
          <w:sz w:val="22"/>
          <w:szCs w:val="22"/>
        </w:rPr>
      </w:pPr>
    </w:p>
    <w:p w:rsidR="00500FCF" w:rsidRDefault="00500FCF">
      <w:pPr>
        <w:ind w:left="0" w:hanging="2"/>
        <w:jc w:val="both"/>
        <w:rPr>
          <w:sz w:val="22"/>
          <w:szCs w:val="22"/>
        </w:rPr>
      </w:pPr>
    </w:p>
    <w:p w:rsidR="00500FCF" w:rsidRDefault="00500FCF">
      <w:pPr>
        <w:ind w:left="0" w:hanging="2"/>
        <w:jc w:val="both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276CD8">
      <w:pPr>
        <w:ind w:left="0" w:hanging="2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RELATIONSHIP BETWEEN COURSE LEARNING OUTCOMES AND PROGRAM QUALIFICATION </w:t>
      </w:r>
    </w:p>
    <w:p w:rsidR="00500FCF" w:rsidRDefault="00500FCF">
      <w:pPr>
        <w:ind w:left="0" w:hanging="2"/>
        <w:rPr>
          <w:color w:val="FF0000"/>
          <w:sz w:val="22"/>
          <w:szCs w:val="22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016"/>
        <w:gridCol w:w="375"/>
        <w:gridCol w:w="375"/>
        <w:gridCol w:w="375"/>
        <w:gridCol w:w="326"/>
        <w:gridCol w:w="375"/>
      </w:tblGrid>
      <w:tr w:rsidR="00500FCF">
        <w:trPr>
          <w:cantSplit/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016" w:type="dxa"/>
            <w:vMerge w:val="restart"/>
            <w:tcBorders>
              <w:top w:val="single" w:sz="12" w:space="0" w:color="000000"/>
            </w:tcBorders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Qualification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500FCF" w:rsidRDefault="00500FC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5"/>
            <w:tcBorders>
              <w:top w:val="single" w:sz="12" w:space="0" w:color="000000"/>
            </w:tcBorders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r>
              <w:rPr>
                <w:sz w:val="22"/>
                <w:szCs w:val="22"/>
              </w:rPr>
              <w:t>Contribution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cantSplit/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016" w:type="dxa"/>
            <w:vMerge/>
            <w:tcBorders>
              <w:top w:val="single" w:sz="12" w:space="0" w:color="000000"/>
            </w:tcBorders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500FCF">
        <w:trPr>
          <w:trHeight w:val="233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organism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00FCF">
        <w:trPr>
          <w:trHeight w:val="250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Explains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mechanisms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clinical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diagnostic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features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250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take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patient's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history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physical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00FCF">
        <w:trPr>
          <w:trHeight w:val="305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apply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diagnosis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00FCF">
        <w:trPr>
          <w:trHeight w:val="233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emergency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illnesses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refer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centers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expertise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when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services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00FCF">
        <w:trPr>
          <w:trHeight w:val="316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practice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preventive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forensic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590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about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National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233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his legal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can define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ethical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248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first-line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250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organize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meetings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run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projects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rPr>
          <w:trHeight w:val="250"/>
        </w:trPr>
        <w:tc>
          <w:tcPr>
            <w:tcW w:w="456" w:type="dxa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01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foreign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languages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follow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literature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field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statistics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computer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methods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evaluate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37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500FCF" w:rsidRDefault="00500FCF">
      <w:pPr>
        <w:ind w:left="0" w:hanging="2"/>
        <w:rPr>
          <w:sz w:val="22"/>
          <w:szCs w:val="22"/>
        </w:rPr>
      </w:pPr>
    </w:p>
    <w:p w:rsidR="00500FCF" w:rsidRDefault="00276CD8">
      <w:pPr>
        <w:tabs>
          <w:tab w:val="left" w:pos="144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also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specified</w:t>
      </w:r>
      <w:proofErr w:type="spellEnd"/>
      <w:r>
        <w:rPr>
          <w:sz w:val="22"/>
          <w:szCs w:val="22"/>
        </w:rPr>
        <w:t xml:space="preserve"> as 1 </w:t>
      </w:r>
      <w:proofErr w:type="spellStart"/>
      <w:r>
        <w:rPr>
          <w:sz w:val="22"/>
          <w:szCs w:val="22"/>
        </w:rPr>
        <w:t>lowest</w:t>
      </w:r>
      <w:proofErr w:type="spellEnd"/>
      <w:r>
        <w:rPr>
          <w:sz w:val="22"/>
          <w:szCs w:val="22"/>
        </w:rPr>
        <w:t xml:space="preserve">, 2 </w:t>
      </w:r>
      <w:proofErr w:type="spellStart"/>
      <w:r>
        <w:rPr>
          <w:sz w:val="22"/>
          <w:szCs w:val="22"/>
        </w:rPr>
        <w:t>low</w:t>
      </w:r>
      <w:proofErr w:type="spellEnd"/>
      <w:r>
        <w:rPr>
          <w:sz w:val="22"/>
          <w:szCs w:val="22"/>
        </w:rPr>
        <w:t xml:space="preserve">, 3 </w:t>
      </w:r>
      <w:proofErr w:type="spellStart"/>
      <w:r>
        <w:rPr>
          <w:sz w:val="22"/>
          <w:szCs w:val="22"/>
        </w:rPr>
        <w:t>medium</w:t>
      </w:r>
      <w:proofErr w:type="spellEnd"/>
      <w:r>
        <w:rPr>
          <w:sz w:val="22"/>
          <w:szCs w:val="22"/>
        </w:rPr>
        <w:t xml:space="preserve">, 4 </w:t>
      </w:r>
      <w:proofErr w:type="spellStart"/>
      <w:r>
        <w:rPr>
          <w:sz w:val="22"/>
          <w:szCs w:val="22"/>
        </w:rPr>
        <w:t>high</w:t>
      </w:r>
      <w:proofErr w:type="spellEnd"/>
      <w:r>
        <w:rPr>
          <w:sz w:val="22"/>
          <w:szCs w:val="22"/>
        </w:rPr>
        <w:t xml:space="preserve">, 5 </w:t>
      </w:r>
      <w:proofErr w:type="spellStart"/>
      <w:r>
        <w:rPr>
          <w:sz w:val="22"/>
          <w:szCs w:val="22"/>
        </w:rPr>
        <w:t>highest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completely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partially</w:t>
      </w:r>
      <w:proofErr w:type="spellEnd"/>
      <w:r>
        <w:rPr>
          <w:sz w:val="22"/>
          <w:szCs w:val="22"/>
        </w:rPr>
        <w:t>.</w:t>
      </w:r>
    </w:p>
    <w:p w:rsidR="00500FCF" w:rsidRDefault="00500FCF">
      <w:pPr>
        <w:ind w:left="0" w:hanging="2"/>
        <w:rPr>
          <w:sz w:val="22"/>
          <w:szCs w:val="22"/>
        </w:rPr>
      </w:pPr>
    </w:p>
    <w:p w:rsidR="00500FCF" w:rsidRDefault="00276CD8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ECTS (WORKLOAD TABLE)</w:t>
      </w:r>
    </w:p>
    <w:p w:rsidR="00500FCF" w:rsidRDefault="00500FCF">
      <w:pPr>
        <w:ind w:left="0" w:hanging="2"/>
        <w:rPr>
          <w:sz w:val="22"/>
          <w:szCs w:val="22"/>
        </w:rPr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500FCF">
        <w:tc>
          <w:tcPr>
            <w:tcW w:w="6238" w:type="dxa"/>
            <w:vAlign w:val="center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Events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500FCF" w:rsidRDefault="00500FCF">
            <w:pPr>
              <w:ind w:left="0" w:hanging="2"/>
              <w:rPr>
                <w:sz w:val="22"/>
                <w:szCs w:val="22"/>
              </w:rPr>
            </w:pPr>
          </w:p>
          <w:p w:rsidR="00500FCF" w:rsidRDefault="00500FC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Time (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Hour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00FCF">
        <w:tc>
          <w:tcPr>
            <w:tcW w:w="6238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Course Time (</w:t>
            </w:r>
            <w:proofErr w:type="spellStart"/>
            <w:r>
              <w:rPr>
                <w:b/>
                <w:sz w:val="22"/>
                <w:szCs w:val="22"/>
              </w:rPr>
              <w:t>exam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week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included</w:t>
            </w:r>
            <w:proofErr w:type="spellEnd"/>
            <w:r>
              <w:rPr>
                <w:b/>
                <w:sz w:val="22"/>
                <w:szCs w:val="22"/>
              </w:rPr>
              <w:t xml:space="preserve">: 1x total </w:t>
            </w:r>
            <w:proofErr w:type="spellStart"/>
            <w:r>
              <w:rPr>
                <w:b/>
                <w:sz w:val="22"/>
                <w:szCs w:val="22"/>
              </w:rPr>
              <w:t>course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500FCF">
        <w:tc>
          <w:tcPr>
            <w:tcW w:w="6238" w:type="dxa"/>
            <w:vAlign w:val="center"/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6"/>
              <w:tblW w:w="13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</w:tblGrid>
            <w:tr w:rsidR="00500FCF">
              <w:trPr>
                <w:trHeight w:val="98"/>
              </w:trPr>
              <w:tc>
                <w:tcPr>
                  <w:tcW w:w="1304" w:type="dxa"/>
                </w:tcPr>
                <w:p w:rsidR="00500FCF" w:rsidRDefault="00276C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Laboratory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00FCF" w:rsidRDefault="00500FC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00FCF">
        <w:tc>
          <w:tcPr>
            <w:tcW w:w="6238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500FCF">
        <w:tc>
          <w:tcPr>
            <w:tcW w:w="6238" w:type="dxa"/>
            <w:vAlign w:val="center"/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7"/>
              <w:tblW w:w="343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1"/>
            </w:tblGrid>
            <w:tr w:rsidR="00500FCF">
              <w:trPr>
                <w:trHeight w:val="403"/>
              </w:trPr>
              <w:tc>
                <w:tcPr>
                  <w:tcW w:w="3431" w:type="dxa"/>
                </w:tcPr>
                <w:p w:rsidR="00500FCF" w:rsidRDefault="00276C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Course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related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internship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if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exist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</w:tc>
            </w:tr>
          </w:tbl>
          <w:p w:rsidR="00500FCF" w:rsidRDefault="00500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c>
          <w:tcPr>
            <w:tcW w:w="6238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Working</w:t>
            </w:r>
            <w:proofErr w:type="spellEnd"/>
            <w:r>
              <w:rPr>
                <w:b/>
                <w:sz w:val="22"/>
                <w:szCs w:val="22"/>
              </w:rPr>
              <w:t xml:space="preserve"> time </w:t>
            </w:r>
            <w:proofErr w:type="spellStart"/>
            <w:r>
              <w:rPr>
                <w:b/>
                <w:sz w:val="22"/>
                <w:szCs w:val="22"/>
              </w:rPr>
              <w:t>out</w:t>
            </w:r>
            <w:proofErr w:type="spellEnd"/>
            <w:r>
              <w:rPr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sz w:val="22"/>
                <w:szCs w:val="22"/>
              </w:rPr>
              <w:t>class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enhancements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c>
          <w:tcPr>
            <w:tcW w:w="6238" w:type="dxa"/>
            <w:vAlign w:val="center"/>
          </w:tcPr>
          <w:p w:rsidR="00500FCF" w:rsidRDefault="00500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8"/>
              <w:tblW w:w="23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500FCF">
              <w:trPr>
                <w:trHeight w:val="98"/>
              </w:trPr>
              <w:tc>
                <w:tcPr>
                  <w:tcW w:w="2367" w:type="dxa"/>
                </w:tcPr>
                <w:p w:rsidR="00500FCF" w:rsidRDefault="00276C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Presentation /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Seminar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00FCF" w:rsidRDefault="00500FC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c>
          <w:tcPr>
            <w:tcW w:w="6238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c>
          <w:tcPr>
            <w:tcW w:w="6238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00FCF">
        <w:tc>
          <w:tcPr>
            <w:tcW w:w="6238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00FCF">
        <w:tc>
          <w:tcPr>
            <w:tcW w:w="6238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500FCF" w:rsidRDefault="00500FCF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</w:tbl>
    <w:p w:rsidR="00500FCF" w:rsidRDefault="00500FCF">
      <w:pPr>
        <w:ind w:left="0" w:hanging="2"/>
        <w:rPr>
          <w:sz w:val="22"/>
          <w:szCs w:val="22"/>
        </w:rPr>
      </w:pPr>
    </w:p>
    <w:p w:rsidR="00500FCF" w:rsidRDefault="00276CD8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EVALUATION SYSTEM</w:t>
      </w:r>
    </w:p>
    <w:p w:rsidR="00500FCF" w:rsidRDefault="00500FCF">
      <w:pPr>
        <w:ind w:left="0" w:hanging="2"/>
        <w:rPr>
          <w:sz w:val="22"/>
          <w:szCs w:val="22"/>
        </w:rPr>
      </w:pPr>
    </w:p>
    <w:tbl>
      <w:tblPr>
        <w:tblStyle w:val="a9"/>
        <w:tblW w:w="10173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4"/>
        <w:gridCol w:w="1194"/>
        <w:gridCol w:w="1965"/>
      </w:tblGrid>
      <w:tr w:rsidR="00500FCF">
        <w:tc>
          <w:tcPr>
            <w:tcW w:w="7014" w:type="dxa"/>
            <w:vAlign w:val="center"/>
          </w:tcPr>
          <w:p w:rsidR="00500FCF" w:rsidRDefault="00500FC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:rsidR="00500FCF" w:rsidRDefault="0027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CONTRIBUTION </w:t>
            </w:r>
          </w:p>
        </w:tc>
      </w:tr>
      <w:tr w:rsidR="00500FCF">
        <w:tc>
          <w:tcPr>
            <w:tcW w:w="7014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Attendance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lecture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practices</w:t>
            </w:r>
            <w:proofErr w:type="spellEnd"/>
          </w:p>
        </w:tc>
        <w:tc>
          <w:tcPr>
            <w:tcW w:w="1194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%10</w:t>
            </w:r>
          </w:p>
        </w:tc>
      </w:tr>
      <w:tr w:rsidR="00500FCF">
        <w:tc>
          <w:tcPr>
            <w:tcW w:w="7014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written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4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%50 </w:t>
            </w:r>
          </w:p>
        </w:tc>
      </w:tr>
      <w:tr w:rsidR="00500FCF">
        <w:tc>
          <w:tcPr>
            <w:tcW w:w="7014" w:type="dxa"/>
            <w:vAlign w:val="center"/>
          </w:tcPr>
          <w:p w:rsidR="00500FCF" w:rsidRDefault="00276CD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(oral)</w:t>
            </w:r>
          </w:p>
        </w:tc>
        <w:tc>
          <w:tcPr>
            <w:tcW w:w="1194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500FCF">
        <w:trPr>
          <w:trHeight w:val="77"/>
        </w:trPr>
        <w:tc>
          <w:tcPr>
            <w:tcW w:w="7014" w:type="dxa"/>
          </w:tcPr>
          <w:p w:rsidR="00500FCF" w:rsidRDefault="00276CD8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:rsidR="00500FCF" w:rsidRDefault="00500FC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500FCF" w:rsidRDefault="00276C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500FCF" w:rsidRDefault="00500FCF">
      <w:pPr>
        <w:ind w:left="0" w:hanging="2"/>
        <w:rPr>
          <w:sz w:val="22"/>
          <w:szCs w:val="22"/>
        </w:rPr>
      </w:pPr>
    </w:p>
    <w:p w:rsidR="00500FCF" w:rsidRDefault="00500FCF">
      <w:pPr>
        <w:ind w:left="0" w:hanging="2"/>
        <w:rPr>
          <w:sz w:val="22"/>
          <w:szCs w:val="22"/>
        </w:rPr>
      </w:pPr>
    </w:p>
    <w:sectPr w:rsidR="00500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17" w:rsidRDefault="00437C17">
      <w:pPr>
        <w:spacing w:line="240" w:lineRule="auto"/>
        <w:ind w:left="0" w:hanging="2"/>
      </w:pPr>
      <w:r>
        <w:separator/>
      </w:r>
    </w:p>
  </w:endnote>
  <w:endnote w:type="continuationSeparator" w:id="0">
    <w:p w:rsidR="00437C17" w:rsidRDefault="00437C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69" w:rsidRDefault="00D57C69" w:rsidP="00D57C69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CF" w:rsidRDefault="00276CD8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D57C69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D57C69">
      <w:rPr>
        <w:noProof/>
        <w:color w:val="323E4F"/>
      </w:rPr>
      <w:t>3</w:t>
    </w:r>
    <w:r>
      <w:rPr>
        <w:color w:val="323E4F"/>
      </w:rPr>
      <w:fldChar w:fldCharType="end"/>
    </w:r>
  </w:p>
  <w:p w:rsidR="00500FCF" w:rsidRDefault="00500FC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69" w:rsidRDefault="00D57C69" w:rsidP="00D57C69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17" w:rsidRDefault="00437C17">
      <w:pPr>
        <w:spacing w:line="240" w:lineRule="auto"/>
        <w:ind w:left="0" w:hanging="2"/>
      </w:pPr>
      <w:r>
        <w:separator/>
      </w:r>
    </w:p>
  </w:footnote>
  <w:footnote w:type="continuationSeparator" w:id="0">
    <w:p w:rsidR="00437C17" w:rsidRDefault="00437C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69" w:rsidRDefault="00D57C69" w:rsidP="00D57C69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69" w:rsidRDefault="00D57C69" w:rsidP="00D57C69">
    <w:pPr>
      <w:pStyle w:val="stbilgi"/>
      <w:ind w:left="0" w:hanging="2"/>
    </w:pPr>
    <w:r>
      <w:rPr>
        <w:noProof/>
        <w:lang w:eastAsia="tr-TR"/>
      </w:rPr>
      <w:t xml:space="preserve">                                             </w:t>
    </w:r>
    <w:r>
      <w:rPr>
        <w:noProof/>
        <w:lang w:eastAsia="tr-TR"/>
      </w:rPr>
      <w:drawing>
        <wp:inline distT="0" distB="0" distL="0" distR="0" wp14:anchorId="647AF404" wp14:editId="5BF03C3B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500FCF" w:rsidRDefault="00500F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69" w:rsidRDefault="00D57C69" w:rsidP="00D57C69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CF"/>
    <w:rsid w:val="000E6F64"/>
    <w:rsid w:val="00276CD8"/>
    <w:rsid w:val="00437C17"/>
    <w:rsid w:val="00500FCF"/>
    <w:rsid w:val="00595C03"/>
    <w:rsid w:val="00601397"/>
    <w:rsid w:val="007B48DE"/>
    <w:rsid w:val="00D57C69"/>
    <w:rsid w:val="00EA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D57C69"/>
    <w:rPr>
      <w:rFonts w:eastAsia="SimSun"/>
      <w:position w:val="-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D57C69"/>
    <w:rPr>
      <w:rFonts w:eastAsia="SimSun"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XgPL+5B8jrx/lC0xy1cCO17WQ==">CgMxLjA4AHIhMU83T21CVUw2c0NkODZiOWJ3SmdlM2puQmRYdkxKM3Y0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6</cp:revision>
  <dcterms:created xsi:type="dcterms:W3CDTF">2020-09-17T18:00:00Z</dcterms:created>
  <dcterms:modified xsi:type="dcterms:W3CDTF">2025-01-03T10:10:00Z</dcterms:modified>
</cp:coreProperties>
</file>